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634" w:right="0" w:firstLine="0"/>
        <w:rPr>
          <w:rFonts w:ascii="Times New Roman"/>
          <w:sz w:val="20"/>
        </w:rPr>
      </w:pPr>
      <w:r>
        <w:rPr/>
        <w:pict>
          <v:group style="position:absolute;margin-left:28.346001pt;margin-top:793.702942pt;width:538.6pt;height:17.05pt;mso-position-horizontal-relative:page;mso-position-vertical-relative:page;z-index:15729664" id="docshapegroup1" coordorigin="567,15874" coordsize="10772,341">
            <v:rect style="position:absolute;left:566;top:15874;width:10772;height:341" id="docshape2" filled="true" fillcolor="#e21d24" stroked="false">
              <v:fill type="solid"/>
            </v:rect>
            <v:shape style="position:absolute;left:8987;top:15874;width:557;height:341" id="docshape3" coordorigin="8988,15874" coordsize="557,341" path="m9083,16120l9060,16123,9048,16127,9036,16131,9025,16135,9013,16140,9005,16143,8996,16147,8988,16151,8999,16153,9009,16154,9020,16155,9030,16157,9052,16161,9074,16168,9094,16178,9112,16191,9121,16199,9128,16207,9133,16214,9429,16214,9432,16192,9434,16183,9257,16183,9251,16182,9233,16178,9221,16173,9210,16169,9194,16161,9178,16153,9163,16145,9148,16136,9127,16126,9105,16121,9083,16120xm9032,15920l9020,15927,9041,15933,9059,15944,9073,15958,9086,15975,9094,15987,9102,16001,9109,16015,9114,16029,9125,16051,9139,16070,9155,16087,9175,16101,9188,16108,9201,16115,9215,16121,9238,16131,9249,16136,9267,16149,9273,16157,9275,16176,9271,16181,9257,16183,9434,16183,9446,16121,9465,16053,9476,16024,9263,16024,9243,16023,9223,16020,9201,16014,9180,16005,9161,15992,9145,15976,9137,15967,9128,15959,9119,15951,9110,15944,9097,15935,9083,15928,9068,15924,9053,15921,9043,15920,9032,15920xm9496,15971l9354,15971,9365,15972,9386,15980,9395,15986,9399,15997,9395,16001,9390,16002,9385,16004,9365,16010,9344,16015,9324,16019,9303,16022,9283,16023,9263,16024,9476,16024,9490,15986,9496,15971xm9202,15906l9201,15907,9201,15908,9203,15912,9204,15913,9223,15934,9244,15950,9268,15962,9295,15969,9307,15971,9319,15972,9331,15972,9343,15972,9354,15971,9496,15971,9519,15921,9521,15917,9269,15917,9246,15915,9224,15912,9202,15906xm9545,15874l9327,15874,9330,15885,9326,15899,9317,15909,9301,15915,9298,15916,9295,15916,9292,15916,9269,15917,9521,15917,9545,15874xe" filled="true" fillcolor="#fcc409" stroked="false">
              <v:path arrowok="t"/>
              <v:fill type="solid"/>
            </v:shape>
            <v:shape style="position:absolute;left:9413;top:15874;width:1925;height:341" id="docshape4" coordorigin="9414,15874" coordsize="1925,341" path="m11339,15874l9449,15874,9414,16214,11339,16214,11339,15874xe" filled="true" fillcolor="#ffc22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5874;width:10772;height:341" type="#_x0000_t202" id="docshape5" filled="false" stroked="false">
              <v:textbox inset="0,0,0,0">
                <w:txbxContent>
                  <w:p>
                    <w:pPr>
                      <w:spacing w:before="66"/>
                      <w:ind w:left="566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color w:val="FFFFFF"/>
                        <w:sz w:val="18"/>
                      </w:rPr>
                      <w:t>Midtjysk</w:t>
                    </w:r>
                    <w:r>
                      <w:rPr>
                        <w:b w:val="0"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Brand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&amp;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Redning-</w:t>
                    </w:r>
                    <w:r>
                      <w:rPr>
                        <w:b w:val="0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Myndighed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og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Forebyggelse-</w:t>
                    </w:r>
                    <w:r>
                      <w:rPr>
                        <w:b w:val="0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tlf.: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89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70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35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99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–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hyperlink r:id="rId5">
                      <w:r>
                        <w:rPr>
                          <w:b w:val="0"/>
                          <w:color w:val="FFFFFF"/>
                          <w:spacing w:val="-2"/>
                          <w:sz w:val="18"/>
                        </w:rPr>
                        <w:t>mogf@mjbr.dk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9.474304pt;margin-top:659.45813pt;width:6.5pt;height:101.25pt;mso-position-horizontal-relative:page;mso-position-vertical-relative:page;z-index:15730688" type="#_x0000_t202" id="docshape6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Gesta" w:hAnsi="Gesta"/>
                      <w:sz w:val="8"/>
                    </w:rPr>
                  </w:pPr>
                  <w:r>
                    <w:rPr>
                      <w:rFonts w:ascii="Gesta" w:hAnsi="Gesta"/>
                      <w:color w:val="231F20"/>
                      <w:sz w:val="8"/>
                    </w:rPr>
                    <w:t>Layout: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Silkeborg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Kommune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Brand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og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redning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10147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06.22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178.6pt;height:99.25pt;mso-position-horizontal-relative:char;mso-position-vertical-relative:line" id="docshapegroup7" coordorigin="0,0" coordsize="3572,1985">
            <v:rect style="position:absolute;left:0;top:0;width:3572;height:1985" id="docshape8" filled="true" fillcolor="#e21d24" stroked="false">
              <v:fill type="solid"/>
            </v:rect>
            <v:shape style="position:absolute;left:878;top:236;width:1804;height:1525" id="docshape9" coordorigin="879,237" coordsize="1804,1525" path="m1808,711l1773,618,1773,618,1758,584,1738,537,1738,537,1704,467,1669,408,1631,358,1631,358,1611,339,1590,318,1590,318,1576,309,1544,287,1491,264,1431,248,1431,248,1363,239,1285,237,1285,237,1195,239,1195,239,1195,325,1195,325,1234,321,1251,319,1251,319,1253,319,1267,317,1350,309,1427,316,1498,339,1562,376,1620,426,1672,490,1694,524,1715,559,1735,594,1755,629,1768,650,1781,671,1808,711xm1950,869l1874,835,1816,791,1816,791,1770,737,1733,678,1702,614,1673,549,1637,486,1592,434,1592,434,1561,411,1538,393,1538,393,1477,363,1412,346,1342,340,1271,347,1207,370,1168,394,1144,409,1143,409,1116,435,1086,463,1039,525,1006,592,992,661,991,721,985,776,953,818,879,840,879,840,900,869,1950,869xm1959,946l1959,946,1941,940,1932,937,1932,937,1882,930,1882,930,1876,929,1813,923,1813,923,1733,918,1728,918,1728,918,1724,918,1631,914,1631,914,1528,911,1526,911,1526,911,1525,911,1417,910,1417,910,1309,910,1205,912,1205,912,1108,915,1108,915,1024,920,956,927,956,927,907,936,883,946,883,946,1959,946xm2615,1078l2565,1028,2524,989,2488,945,2454,881,2416,783,2400,744,2369,694,2324,644,2261,603,2180,583,2080,594,2122,614,2170,677,2218,760,2258,841,2285,895,2335,975,2389,1031,2451,1065,2525,1080,2615,1078xm2620,1503l2549,1452,2427,1364,2362,1319,2362,1319,2296,1274,2226,1242,2154,1232,2154,1232,2087,1243,2030,1274,2030,1274,2034,1276,2090,1314,2151,1354,2211,1395,2269,1440,2337,1486,2406,1513,2476,1524,2548,1520,2620,1503,2620,1503,2620,1503xm2646,1597l2563,1596,2481,1589,2399,1574,2319,1550,2241,1517,2164,1474,2171,1491,2177,1508,2185,1525,2193,1542,2243,1609,2300,1664,2366,1706,2439,1735,2521,1753,2566,1758,2601,1761,2627,1760,2646,1754,2646,1597xm2646,1206l2638,1203,2628,1201,2618,1198,2607,1196,2534,1175,2467,1145,2405,1107,2348,1062,2295,1010,2247,953,2203,891,2196,881,2187,872,2177,861,2166,849,2167,920,2180,988,2203,1054,2235,1116,2276,1173,2325,1224,2379,1269,2440,1307,2505,1336,2574,1355,2646,1365,2646,1206xm2682,878l2677,825,2677,825,2651,782,2597,727,2597,727,2573,700,2550,672,2550,672,2530,641,2512,610,2512,610,2497,577,2484,542,2471,506,2458,469,2458,467,2458,467,2434,535,2423,602,2423,602,2424,668,2438,731,2464,790,2500,843,2548,891,2605,931,2672,962,2682,878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40"/>
          <w:sz w:val="20"/>
        </w:rPr>
        <w:pict>
          <v:shape style="width:354.35pt;height:99.25pt;mso-position-horizontal-relative:char;mso-position-vertical-relative:line" type="#_x0000_t202" id="docshape10" filled="true" fillcolor="#e21d24" stroked="false">
            <w10:anchorlock/>
            <v:textbox inset="0,0,0,0">
              <w:txbxContent>
                <w:p>
                  <w:pPr>
                    <w:spacing w:line="593" w:lineRule="exact" w:before="416"/>
                    <w:ind w:left="1320" w:right="1320" w:firstLine="0"/>
                    <w:jc w:val="center"/>
                    <w:rPr>
                      <w:rFonts w:ascii="Calibri"/>
                      <w:color w:val="000000"/>
                      <w:sz w:val="50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50"/>
                    </w:rPr>
                    <w:t>Ordensregler</w:t>
                  </w:r>
                </w:p>
                <w:p>
                  <w:pPr>
                    <w:spacing w:line="593" w:lineRule="exact" w:before="0"/>
                    <w:ind w:left="1320" w:right="1320" w:firstLine="0"/>
                    <w:jc w:val="center"/>
                    <w:rPr>
                      <w:b w:val="0"/>
                      <w:color w:val="000000"/>
                      <w:sz w:val="50"/>
                    </w:rPr>
                  </w:pPr>
                  <w:r>
                    <w:rPr>
                      <w:b w:val="0"/>
                      <w:color w:val="FFFFFF"/>
                      <w:sz w:val="50"/>
                    </w:rPr>
                    <w:t>Forebyggelse</w:t>
                  </w:r>
                  <w:r>
                    <w:rPr>
                      <w:b w:val="0"/>
                      <w:color w:val="FFFFFF"/>
                      <w:spacing w:val="-21"/>
                      <w:sz w:val="50"/>
                    </w:rPr>
                    <w:t> </w:t>
                  </w:r>
                  <w:r>
                    <w:rPr>
                      <w:b w:val="0"/>
                      <w:color w:val="FFFFFF"/>
                      <w:sz w:val="50"/>
                    </w:rPr>
                    <w:t>af</w:t>
                  </w:r>
                  <w:r>
                    <w:rPr>
                      <w:b w:val="0"/>
                      <w:color w:val="FFFFFF"/>
                      <w:spacing w:val="-17"/>
                      <w:sz w:val="50"/>
                    </w:rPr>
                    <w:t> </w:t>
                  </w:r>
                  <w:r>
                    <w:rPr>
                      <w:b w:val="0"/>
                      <w:color w:val="FFFFFF"/>
                      <w:spacing w:val="-2"/>
                      <w:sz w:val="50"/>
                    </w:rPr>
                    <w:t>brand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pacing w:val="4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52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Vær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forsigtig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med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anvendelse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af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åben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pacing w:val="-4"/>
          <w:sz w:val="24"/>
        </w:rPr>
        <w:t>ild.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78" w:lineRule="exact" w:before="1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Levende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lys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dekorationer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anbringes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på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ubrændbart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stabilt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underlag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god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afstand</w:t>
      </w:r>
      <w:r>
        <w:rPr>
          <w:b w:val="0"/>
          <w:color w:val="414042"/>
          <w:spacing w:val="-5"/>
          <w:sz w:val="24"/>
        </w:rPr>
        <w:t> fra</w:t>
      </w:r>
    </w:p>
    <w:p>
      <w:pPr>
        <w:pStyle w:val="BodyText"/>
        <w:spacing w:line="278" w:lineRule="exact"/>
        <w:ind w:left="330"/>
        <w:rPr>
          <w:b w:val="0"/>
        </w:rPr>
      </w:pPr>
      <w:r>
        <w:rPr>
          <w:b w:val="0"/>
          <w:color w:val="414042"/>
        </w:rPr>
        <w:t>gardiner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og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andet</w:t>
      </w:r>
      <w:r>
        <w:rPr>
          <w:b w:val="0"/>
          <w:color w:val="414042"/>
          <w:spacing w:val="-4"/>
        </w:rPr>
        <w:t> </w:t>
      </w:r>
      <w:r>
        <w:rPr>
          <w:b w:val="0"/>
          <w:color w:val="414042"/>
        </w:rPr>
        <w:t>brændbart</w:t>
      </w:r>
      <w:r>
        <w:rPr>
          <w:b w:val="0"/>
          <w:color w:val="414042"/>
          <w:spacing w:val="-4"/>
        </w:rPr>
        <w:t> </w:t>
      </w:r>
      <w:r>
        <w:rPr>
          <w:b w:val="0"/>
          <w:color w:val="414042"/>
          <w:spacing w:val="-2"/>
        </w:rPr>
        <w:t>materiale.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Tændte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lys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holdes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under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pacing w:val="-2"/>
          <w:sz w:val="24"/>
        </w:rPr>
        <w:t>opsyn.</w:t>
      </w:r>
    </w:p>
    <w:p>
      <w:pPr>
        <w:pStyle w:val="BodyText"/>
        <w:spacing w:before="2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Tobaksrygning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må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kun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finde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sted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inden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for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de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dertil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anviste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pacing w:val="-2"/>
          <w:sz w:val="24"/>
        </w:rPr>
        <w:t>områder.</w:t>
      </w:r>
    </w:p>
    <w:p>
      <w:pPr>
        <w:pStyle w:val="BodyText"/>
        <w:rPr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16" w:lineRule="auto" w:before="0" w:after="0"/>
        <w:ind w:left="330" w:right="1010" w:hanging="227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Tobaksaffald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opsamles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ubrændbare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beholdere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med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låg.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Beholderne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må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kun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benyttes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til dette formål.</w:t>
      </w:r>
    </w:p>
    <w:p>
      <w:pPr>
        <w:pStyle w:val="BodyText"/>
        <w:spacing w:before="8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78" w:lineRule="exact" w:before="1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Affaldssække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lignende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dagligt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fjernes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anbringes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et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særligt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2"/>
          <w:sz w:val="24"/>
        </w:rPr>
        <w:t>affaldsrum</w:t>
      </w:r>
    </w:p>
    <w:p>
      <w:pPr>
        <w:pStyle w:val="BodyText"/>
        <w:spacing w:line="278" w:lineRule="exact"/>
        <w:ind w:left="330"/>
        <w:rPr>
          <w:b w:val="0"/>
        </w:rPr>
      </w:pPr>
      <w:r>
        <w:rPr>
          <w:b w:val="0"/>
          <w:color w:val="414042"/>
        </w:rPr>
        <w:t>eller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i</w:t>
      </w:r>
      <w:r>
        <w:rPr>
          <w:b w:val="0"/>
          <w:color w:val="414042"/>
          <w:spacing w:val="-2"/>
        </w:rPr>
        <w:t> </w:t>
      </w:r>
      <w:r>
        <w:rPr>
          <w:b w:val="0"/>
          <w:color w:val="414042"/>
        </w:rPr>
        <w:t>en</w:t>
      </w:r>
      <w:r>
        <w:rPr>
          <w:b w:val="0"/>
          <w:color w:val="414042"/>
          <w:spacing w:val="-2"/>
        </w:rPr>
        <w:t> container.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78" w:lineRule="exact" w:before="0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Duge,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servietter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lignende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ved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aftagning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efterses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for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gløder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fra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tobaksrygning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m.v.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pacing w:val="-4"/>
          <w:sz w:val="24"/>
        </w:rPr>
        <w:t>skal</w:t>
      </w:r>
    </w:p>
    <w:p>
      <w:pPr>
        <w:pStyle w:val="BodyText"/>
        <w:spacing w:line="278" w:lineRule="exact"/>
        <w:ind w:left="330"/>
        <w:rPr>
          <w:b w:val="0"/>
        </w:rPr>
      </w:pPr>
      <w:r>
        <w:rPr>
          <w:b w:val="0"/>
          <w:color w:val="414042"/>
        </w:rPr>
        <w:t>anbringes,</w:t>
      </w:r>
      <w:r>
        <w:rPr>
          <w:b w:val="0"/>
          <w:color w:val="414042"/>
          <w:spacing w:val="-7"/>
        </w:rPr>
        <w:t> </w:t>
      </w:r>
      <w:r>
        <w:rPr>
          <w:b w:val="0"/>
          <w:color w:val="414042"/>
        </w:rPr>
        <w:t>så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en</w:t>
      </w:r>
      <w:r>
        <w:rPr>
          <w:b w:val="0"/>
          <w:color w:val="414042"/>
          <w:spacing w:val="-6"/>
        </w:rPr>
        <w:t> </w:t>
      </w:r>
      <w:r>
        <w:rPr>
          <w:b w:val="0"/>
          <w:color w:val="414042"/>
        </w:rPr>
        <w:t>eventuel</w:t>
      </w:r>
      <w:r>
        <w:rPr>
          <w:b w:val="0"/>
          <w:color w:val="414042"/>
          <w:spacing w:val="-6"/>
        </w:rPr>
        <w:t> </w:t>
      </w:r>
      <w:r>
        <w:rPr>
          <w:b w:val="0"/>
          <w:color w:val="414042"/>
        </w:rPr>
        <w:t>brand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i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materialet</w:t>
      </w:r>
      <w:r>
        <w:rPr>
          <w:b w:val="0"/>
          <w:color w:val="414042"/>
          <w:spacing w:val="-6"/>
        </w:rPr>
        <w:t> </w:t>
      </w:r>
      <w:r>
        <w:rPr>
          <w:b w:val="0"/>
          <w:color w:val="414042"/>
        </w:rPr>
        <w:t>ikke</w:t>
      </w:r>
      <w:r>
        <w:rPr>
          <w:b w:val="0"/>
          <w:color w:val="414042"/>
          <w:spacing w:val="-6"/>
        </w:rPr>
        <w:t> </w:t>
      </w:r>
      <w:r>
        <w:rPr>
          <w:b w:val="0"/>
          <w:color w:val="414042"/>
        </w:rPr>
        <w:t>kan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brede</w:t>
      </w:r>
      <w:r>
        <w:rPr>
          <w:b w:val="0"/>
          <w:color w:val="414042"/>
          <w:spacing w:val="-6"/>
        </w:rPr>
        <w:t> </w:t>
      </w:r>
      <w:r>
        <w:rPr>
          <w:b w:val="0"/>
          <w:color w:val="414042"/>
          <w:spacing w:val="-4"/>
        </w:rPr>
        <w:t>sig.</w:t>
      </w:r>
    </w:p>
    <w:p>
      <w:pPr>
        <w:pStyle w:val="BodyText"/>
        <w:rPr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16" w:lineRule="auto" w:before="0" w:after="0"/>
        <w:ind w:left="330" w:right="843" w:hanging="227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Kaffemaskiner,</w:t>
      </w:r>
      <w:r>
        <w:rPr>
          <w:b w:val="0"/>
          <w:color w:val="414042"/>
          <w:spacing w:val="-14"/>
          <w:sz w:val="24"/>
        </w:rPr>
        <w:t> </w:t>
      </w:r>
      <w:r>
        <w:rPr>
          <w:b w:val="0"/>
          <w:color w:val="414042"/>
          <w:sz w:val="24"/>
        </w:rPr>
        <w:t>strygejern</w:t>
      </w:r>
      <w:r>
        <w:rPr>
          <w:b w:val="0"/>
          <w:color w:val="414042"/>
          <w:spacing w:val="-14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13"/>
          <w:sz w:val="24"/>
        </w:rPr>
        <w:t> </w:t>
      </w:r>
      <w:r>
        <w:rPr>
          <w:b w:val="0"/>
          <w:color w:val="414042"/>
          <w:sz w:val="24"/>
        </w:rPr>
        <w:t>lignende</w:t>
      </w:r>
      <w:r>
        <w:rPr>
          <w:b w:val="0"/>
          <w:color w:val="414042"/>
          <w:spacing w:val="-14"/>
          <w:sz w:val="24"/>
        </w:rPr>
        <w:t> </w:t>
      </w:r>
      <w:r>
        <w:rPr>
          <w:b w:val="0"/>
          <w:color w:val="414042"/>
          <w:sz w:val="24"/>
        </w:rPr>
        <w:t>elektriske</w:t>
      </w:r>
      <w:r>
        <w:rPr>
          <w:b w:val="0"/>
          <w:color w:val="414042"/>
          <w:spacing w:val="-13"/>
          <w:sz w:val="24"/>
        </w:rPr>
        <w:t> </w:t>
      </w:r>
      <w:r>
        <w:rPr>
          <w:b w:val="0"/>
          <w:color w:val="414042"/>
          <w:sz w:val="24"/>
        </w:rPr>
        <w:t>apparater</w:t>
      </w:r>
      <w:r>
        <w:rPr>
          <w:b w:val="0"/>
          <w:color w:val="414042"/>
          <w:spacing w:val="-14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13"/>
          <w:sz w:val="24"/>
        </w:rPr>
        <w:t> </w:t>
      </w:r>
      <w:r>
        <w:rPr>
          <w:b w:val="0"/>
          <w:color w:val="414042"/>
          <w:sz w:val="24"/>
        </w:rPr>
        <w:t>altid</w:t>
      </w:r>
      <w:r>
        <w:rPr>
          <w:b w:val="0"/>
          <w:color w:val="414042"/>
          <w:spacing w:val="-14"/>
          <w:sz w:val="24"/>
        </w:rPr>
        <w:t> </w:t>
      </w:r>
      <w:r>
        <w:rPr>
          <w:b w:val="0"/>
          <w:color w:val="414042"/>
          <w:sz w:val="24"/>
        </w:rPr>
        <w:t>afbrydes</w:t>
      </w:r>
      <w:r>
        <w:rPr>
          <w:b w:val="0"/>
          <w:color w:val="414042"/>
          <w:spacing w:val="-14"/>
          <w:sz w:val="24"/>
        </w:rPr>
        <w:t> </w:t>
      </w:r>
      <w:r>
        <w:rPr>
          <w:b w:val="0"/>
          <w:color w:val="414042"/>
          <w:sz w:val="24"/>
        </w:rPr>
        <w:t>ved</w:t>
      </w:r>
      <w:r>
        <w:rPr>
          <w:b w:val="0"/>
          <w:color w:val="414042"/>
          <w:spacing w:val="-13"/>
          <w:sz w:val="24"/>
        </w:rPr>
        <w:t> </w:t>
      </w:r>
      <w:r>
        <w:rPr>
          <w:b w:val="0"/>
          <w:color w:val="414042"/>
          <w:sz w:val="24"/>
        </w:rPr>
        <w:t>stikkontakten efter brug.</w:t>
      </w:r>
    </w:p>
    <w:p>
      <w:pPr>
        <w:pStyle w:val="BodyText"/>
        <w:spacing w:before="9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Olieklude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m.v.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kan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selvantænde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efter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brug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anbringes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ubrændbar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beholder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med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pacing w:val="-4"/>
          <w:sz w:val="24"/>
        </w:rPr>
        <w:t>låg.</w:t>
      </w:r>
    </w:p>
    <w:p>
      <w:pPr>
        <w:pStyle w:val="BodyText"/>
        <w:rPr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16" w:lineRule="auto" w:before="0" w:after="0"/>
        <w:ind w:left="330" w:right="783" w:hanging="227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Brandfarlige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væsker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(f.eks.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benzin,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petroleum,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acetone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sprit)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10"/>
          <w:sz w:val="24"/>
        </w:rPr>
        <w:t> </w:t>
      </w:r>
      <w:r>
        <w:rPr>
          <w:b w:val="0"/>
          <w:color w:val="414042"/>
          <w:sz w:val="24"/>
        </w:rPr>
        <w:t>anvendes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med</w:t>
      </w:r>
      <w:r>
        <w:rPr>
          <w:b w:val="0"/>
          <w:color w:val="414042"/>
          <w:spacing w:val="-11"/>
          <w:sz w:val="24"/>
        </w:rPr>
        <w:t> </w:t>
      </w:r>
      <w:r>
        <w:rPr>
          <w:b w:val="0"/>
          <w:color w:val="414042"/>
          <w:sz w:val="24"/>
        </w:rPr>
        <w:t>forsigtighed og opbevares i tillukkede beholdere.</w:t>
      </w:r>
    </w:p>
    <w:p>
      <w:pPr>
        <w:pStyle w:val="BodyText"/>
        <w:spacing w:before="8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Selvlukkende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døre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må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kun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stå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åbne,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hvis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de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ved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brand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lukker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2"/>
          <w:sz w:val="24"/>
        </w:rPr>
        <w:t>automatisk.</w:t>
      </w:r>
    </w:p>
    <w:p>
      <w:pPr>
        <w:pStyle w:val="BodyText"/>
        <w:rPr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16" w:lineRule="auto" w:before="0" w:after="0"/>
        <w:ind w:left="330" w:right="2152" w:hanging="227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Flugtvejsdøre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må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ikke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spærres,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må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ikke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anbringes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genstande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eller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effekter i flugtveje og på trapper.</w:t>
      </w:r>
    </w:p>
    <w:p>
      <w:pPr>
        <w:pStyle w:val="BodyText"/>
        <w:spacing w:before="7"/>
        <w:rPr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16" w:lineRule="auto" w:before="0" w:after="0"/>
        <w:ind w:left="330" w:right="2135" w:hanging="227"/>
        <w:jc w:val="left"/>
        <w:rPr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5907352</wp:posOffset>
            </wp:positionH>
            <wp:positionV relativeFrom="paragraph">
              <wp:posOffset>260503</wp:posOffset>
            </wp:positionV>
            <wp:extent cx="1109294" cy="110929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294" cy="11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414042"/>
          <w:spacing w:val="-2"/>
          <w:sz w:val="24"/>
        </w:rPr>
        <w:t>Linnedvogne, rengøringsvogne, større møbler, køleskabe, fotokopieringsmaskiner </w:t>
      </w:r>
      <w:r>
        <w:rPr>
          <w:b w:val="0"/>
          <w:color w:val="414042"/>
          <w:sz w:val="24"/>
        </w:rPr>
        <w:t>og andre elektriske apparater må ikke henstilles i flugtveje.</w:t>
      </w:r>
    </w:p>
    <w:p>
      <w:pPr>
        <w:pStyle w:val="BodyText"/>
        <w:spacing w:before="9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Brandslukningsmateriellet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skal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holdes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frit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pacing w:val="-2"/>
          <w:sz w:val="24"/>
        </w:rPr>
        <w:t>tilgængeligt.</w:t>
      </w:r>
    </w:p>
    <w:sectPr>
      <w:type w:val="continuous"/>
      <w:pgSz w:w="11910" w:h="16840"/>
      <w:pgMar w:top="660" w:bottom="280" w:left="12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Gesta">
    <w:altName w:val="Gesta"/>
    <w:charset w:val="0"/>
    <w:family w:val="moder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0" w:hanging="227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414042"/>
        <w:w w:val="100"/>
        <w:sz w:val="24"/>
        <w:szCs w:val="24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330" w:hanging="227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321" w:hanging="227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311" w:hanging="227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302" w:hanging="227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292" w:hanging="227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283" w:hanging="227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273" w:hanging="227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264" w:hanging="227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line="593" w:lineRule="exact"/>
      <w:ind w:left="1320" w:right="1320"/>
      <w:jc w:val="center"/>
    </w:pPr>
    <w:rPr>
      <w:rFonts w:ascii="Calibri Light" w:hAnsi="Calibri Light" w:eastAsia="Calibri Light" w:cs="Calibri Light"/>
      <w:sz w:val="50"/>
      <w:szCs w:val="50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ind w:left="330" w:hanging="228"/>
    </w:pPr>
    <w:rPr>
      <w:rFonts w:ascii="Calibri Light" w:hAnsi="Calibri Light" w:eastAsia="Calibri Light" w:cs="Calibri Light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gf@mjbr.dk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2022-07-11T08:02:30Z</dcterms:created>
  <dcterms:modified xsi:type="dcterms:W3CDTF">2022-07-11T08:02:30Z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16.0.7</vt:lpwstr>
  </property>
</Properties>
</file>